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exact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" w:eastAsia="仿宋_GB2312" w:cs="仿宋"/>
          <w:sz w:val="28"/>
          <w:szCs w:val="28"/>
          <w:shd w:val="clear" w:color="auto" w:fill="FFFFFF"/>
        </w:rPr>
        <w:t>附件1</w:t>
      </w:r>
    </w:p>
    <w:p>
      <w:pPr>
        <w:shd w:val="solid" w:color="FFFFFF" w:fill="auto"/>
        <w:spacing w:after="156" w:afterLines="50" w:line="500" w:lineRule="exact"/>
        <w:rPr>
          <w:rFonts w:ascii="仿宋_GB2312" w:hAnsi="宋体" w:eastAsia="仿宋_GB2312" w:cs="宋体"/>
          <w:sz w:val="30"/>
          <w:szCs w:val="30"/>
          <w:shd w:val="solid" w:color="FFFFFF" w:fill="auto"/>
        </w:rPr>
      </w:pPr>
      <w:bookmarkStart w:id="0" w:name="_GoBack"/>
      <w:r>
        <w:rPr>
          <w:rFonts w:hint="eastAsia" w:ascii="仿宋_GB2312" w:eastAsia="仿宋_GB2312" w:cs="宋体"/>
          <w:b/>
          <w:sz w:val="30"/>
          <w:szCs w:val="30"/>
          <w:shd w:val="solid" w:color="FFFFFF" w:fill="auto"/>
        </w:rPr>
        <w:t>福建师范大学数学与信息学院研究生学业奖学金评审计分办法</w:t>
      </w:r>
    </w:p>
    <w:bookmarkEnd w:id="0"/>
    <w:p>
      <w:pPr>
        <w:shd w:val="solid" w:color="FFFFFF" w:fill="auto"/>
        <w:spacing w:after="156" w:afterLines="50" w:line="500" w:lineRule="exact"/>
        <w:ind w:firstLine="420" w:firstLineChars="200"/>
        <w:rPr>
          <w:rFonts w:ascii="宋体" w:hAnsi="宋体" w:cs="宋体"/>
          <w:szCs w:val="21"/>
          <w:shd w:val="solid" w:color="FFFFFF" w:fill="auto"/>
        </w:rPr>
      </w:pPr>
      <w:r>
        <w:rPr>
          <w:rFonts w:hint="eastAsia" w:ascii="宋体" w:hAnsi="宋体" w:cs="宋体"/>
          <w:szCs w:val="21"/>
          <w:shd w:val="solid" w:color="FFFFFF" w:fill="auto"/>
        </w:rPr>
        <w:t>一、</w:t>
      </w:r>
      <w:r>
        <w:rPr>
          <w:rFonts w:hint="eastAsia" w:ascii="宋体" w:hAnsi="宋体"/>
          <w:b/>
          <w:szCs w:val="21"/>
          <w:shd w:val="solid" w:color="FFFFFF" w:fill="auto"/>
        </w:rPr>
        <w:t>科研成果计分办法</w:t>
      </w:r>
    </w:p>
    <w:p>
      <w:pPr>
        <w:shd w:val="solid" w:color="FFFFFF" w:fill="auto"/>
        <w:spacing w:line="500" w:lineRule="exact"/>
        <w:rPr>
          <w:rStyle w:val="6"/>
          <w:rFonts w:ascii="宋体" w:hAnsi="宋体" w:cs="宋体"/>
          <w:szCs w:val="21"/>
          <w:shd w:val="clear" w:color="auto" w:fill="FFFFFF"/>
        </w:rPr>
      </w:pPr>
      <w:r>
        <w:rPr>
          <w:rStyle w:val="6"/>
          <w:rFonts w:hint="eastAsia" w:ascii="宋体" w:hAnsi="宋体" w:cs="宋体"/>
          <w:szCs w:val="21"/>
          <w:shd w:val="clear" w:color="auto" w:fill="FFFFFF"/>
        </w:rPr>
        <w:t>（一）计算机科学类（计算机软件与理论、计算机应用技术、软件工程、通信与信息系统）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1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 w:cs="宋体"/>
                <w:szCs w:val="21"/>
              </w:rPr>
              <w:t>刊物级别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 w:cs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SCI1区或CCF A类（期刊、会议）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SCI2区或CCF B类（期刊、会议）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  <w:r>
              <w:rPr>
                <w:rFonts w:hint="eastAsia" w:ascii="宋体" w:hAnsi="宋体" w:cs="宋体"/>
                <w:szCs w:val="21"/>
                <w:shd w:val="solid" w:color="FFFFFF" w:fill="auto"/>
              </w:rPr>
              <w:t>（仅限第一署名为作者本人）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SCI3区或CCF C类（期刊、会议）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SCI4区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实用新型专利</w:t>
            </w:r>
            <w:r>
              <w:rPr>
                <w:rFonts w:hint="eastAsia" w:ascii="宋体" w:hAnsi="宋体" w:cs="宋体"/>
                <w:szCs w:val="21"/>
                <w:shd w:val="solid" w:color="FFFFFF" w:fill="auto"/>
              </w:rPr>
              <w:t>（仅限第一署名为作者本人）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EI检索（期刊）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A类期刊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B类期刊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EI检索（会议）或ISTP检索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CSSCI或CSCD检索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具有研究生教育资格的大学学报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其他CN刊物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1分/篇</w:t>
            </w:r>
          </w:p>
        </w:tc>
      </w:tr>
    </w:tbl>
    <w:p>
      <w:pPr>
        <w:numPr>
          <w:ilvl w:val="0"/>
          <w:numId w:val="1"/>
        </w:numPr>
        <w:shd w:val="solid" w:color="FFFFFF" w:fill="auto"/>
        <w:adjustRightInd w:val="0"/>
        <w:snapToGrid w:val="0"/>
        <w:spacing w:line="500" w:lineRule="exact"/>
        <w:jc w:val="left"/>
        <w:textAlignment w:val="auto"/>
        <w:rPr>
          <w:rStyle w:val="6"/>
          <w:rFonts w:ascii="宋体" w:hAnsi="宋体" w:cs="宋体"/>
          <w:szCs w:val="21"/>
          <w:shd w:val="clear" w:color="auto" w:fill="FFFFFF"/>
        </w:rPr>
      </w:pPr>
      <w:r>
        <w:rPr>
          <w:rStyle w:val="6"/>
          <w:rFonts w:hint="eastAsia" w:ascii="宋体" w:hAnsi="宋体" w:cs="宋体"/>
          <w:szCs w:val="21"/>
          <w:shd w:val="clear" w:color="auto" w:fill="FFFFFF"/>
        </w:rPr>
        <w:t>数学、统计学及专业硕士类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 w:cs="宋体"/>
                <w:szCs w:val="21"/>
              </w:rPr>
              <w:t>刊物级别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 w:cs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SCI1区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SCI2区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SCI3区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SCI4区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EI检索（期刊）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A类期刊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B类期刊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EI检索（会议）或ISTP检索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CSSCI或CSCD检索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具有研究生教育资格的大学学报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其他CN刊物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1分/篇</w:t>
            </w:r>
          </w:p>
        </w:tc>
      </w:tr>
    </w:tbl>
    <w:p>
      <w:pPr>
        <w:shd w:val="solid" w:color="FFFFFF" w:fill="auto"/>
        <w:spacing w:line="500" w:lineRule="exact"/>
        <w:rPr>
          <w:rFonts w:ascii="宋体" w:hAnsi="宋体"/>
          <w:b/>
          <w:szCs w:val="21"/>
          <w:shd w:val="solid" w:color="FFFFFF" w:fill="auto"/>
        </w:rPr>
      </w:pPr>
      <w:r>
        <w:rPr>
          <w:rFonts w:hint="eastAsia" w:ascii="宋体" w:hAnsi="宋体" w:cs="宋体"/>
          <w:b w:val="0"/>
          <w:bCs/>
          <w:szCs w:val="21"/>
          <w:shd w:val="solid" w:color="FFFFFF" w:fill="auto"/>
        </w:rPr>
        <w:t>备注：</w:t>
      </w:r>
      <w:r>
        <w:rPr>
          <w:rFonts w:ascii="宋体" w:hAnsi="宋体" w:cs="宋体"/>
          <w:szCs w:val="21"/>
          <w:shd w:val="solid" w:color="FFFFFF" w:fill="auto"/>
        </w:rPr>
        <w:t>参评论文以及其它科研成果要求研究生为第一作者；若第一作者是导师,参评学生是第二作者,按乘以1/2系数计算；若第一作者不是导师，参评学生是第二作者，第三作者，…,按乘以1/4，1/8,…,系数计算。</w:t>
      </w:r>
      <w:r>
        <w:rPr>
          <w:rFonts w:hint="eastAsia" w:ascii="宋体" w:hAnsi="宋体" w:cs="宋体"/>
          <w:szCs w:val="21"/>
          <w:shd w:val="solid" w:color="FFFFFF" w:fill="auto"/>
        </w:rPr>
        <w:t>若申请者该项得分存在超出总分情况，则依据最高得分者分数为满分相应比例进行折算与换算（详细说明：如果申请者当中有最高分为160分，对于学硕型研究生，按照百分制科研成果占70%，则该项总分为70分，则按照比例160分/篇的论文相当于是70分，其他分数依次按照70/160=0.4375这个比例进行折合换算，例如120分/篇的论文的计分则应为0.4375*120=52.5分进行计分）；除学术论文外，上述各科研项目以人均计分。</w:t>
      </w:r>
      <w:r>
        <w:rPr>
          <w:rFonts w:hint="eastAsia" w:ascii="宋体" w:hAnsi="宋体" w:cs="宋体"/>
          <w:b/>
          <w:szCs w:val="21"/>
          <w:shd w:val="solid" w:color="FFFFFF" w:fill="auto"/>
        </w:rPr>
        <w:t>以下各项计分办法也按照此方法进行换算，后面不再详细说明。</w:t>
      </w:r>
      <w:r>
        <w:rPr>
          <w:rFonts w:hint="eastAsia" w:ascii="宋体" w:hAnsi="宋体" w:cs="宋体"/>
          <w:szCs w:val="21"/>
          <w:shd w:val="solid" w:color="FFFFFF" w:fill="auto"/>
        </w:rPr>
        <w:t>除学术论文外，上述各科研项目以人均计分。</w:t>
      </w:r>
      <w:r>
        <w:rPr>
          <w:rFonts w:hint="eastAsia" w:ascii="宋体" w:hAnsi="宋体"/>
          <w:b/>
          <w:szCs w:val="21"/>
          <w:shd w:val="solid" w:color="FFFFFF" w:fill="auto"/>
        </w:rPr>
        <w:t>论文分类认定标准按照学院教代会审议通过的文件为准，论文分区需提供纸质版的检索结果。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500" w:lineRule="exact"/>
        <w:ind w:firstLine="422" w:firstLineChars="200"/>
        <w:rPr>
          <w:rFonts w:hint="eastAsia" w:ascii="宋体" w:hAnsi="宋体" w:cs="宋体"/>
          <w:b/>
          <w:bCs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学习成绩计分办法</w:t>
      </w:r>
      <w:r>
        <w:rPr>
          <w:rFonts w:hint="eastAsia" w:ascii="宋体" w:hAnsi="宋体" w:cs="宋体"/>
          <w:b/>
          <w:bCs/>
          <w:szCs w:val="21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shd w:val="solid" w:color="FFFFFF" w:fill="auto"/>
        <w:autoSpaceDN w:val="0"/>
        <w:spacing w:line="5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各科成绩由申报者本人提供，若有虚报、瞒报者取消评审资格。</w:t>
      </w:r>
    </w:p>
    <w:p>
      <w:pPr>
        <w:shd w:val="solid" w:color="FFFFFF" w:fill="auto"/>
        <w:autoSpaceDN w:val="0"/>
        <w:spacing w:line="5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学习成绩=（K</w:t>
      </w:r>
      <w:r>
        <w:rPr>
          <w:rFonts w:hint="eastAsia" w:ascii="宋体" w:hAnsi="宋体" w:cs="宋体"/>
          <w:position w:val="-10"/>
          <w:szCs w:val="21"/>
        </w:rPr>
        <w:object>
          <v:shape id="_x0000_i1025" o:spt="75" type="#_x0000_t75" style="height:17.25pt;width: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+K</w:t>
      </w:r>
      <w:r>
        <w:rPr>
          <w:rFonts w:hint="eastAsia" w:ascii="宋体" w:hAnsi="宋体" w:cs="宋体"/>
          <w:position w:val="-10"/>
          <w:szCs w:val="21"/>
        </w:rPr>
        <w:object>
          <v:shape id="_x0000_i1026" o:spt="75" type="#_x0000_t75" style="height:17.25pt;width:8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+K</w:t>
      </w:r>
      <w:r>
        <w:rPr>
          <w:rFonts w:hint="eastAsia" w:ascii="宋体" w:hAnsi="宋体" w:cs="宋体"/>
          <w:position w:val="-12"/>
          <w:szCs w:val="21"/>
        </w:rPr>
        <w:object>
          <v:shape id="_x0000_i1027" o:spt="75" type="#_x0000_t75" style="height:18pt;width:6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+…+K</w:t>
      </w:r>
      <w:r>
        <w:rPr>
          <w:rFonts w:hint="eastAsia" w:ascii="宋体" w:hAnsi="宋体" w:cs="宋体"/>
          <w:position w:val="-12"/>
          <w:szCs w:val="21"/>
        </w:rPr>
        <w:object>
          <v:shape id="_x0000_i1028" o:spt="75" type="#_x0000_t75" style="height:18pt;width:8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）÷课程学分之和</w:t>
      </w:r>
    </w:p>
    <w:p>
      <w:pPr>
        <w:shd w:val="solid" w:color="FFFFFF" w:fill="auto"/>
        <w:autoSpaceDN w:val="0"/>
        <w:spacing w:line="5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其中K</w:t>
      </w:r>
      <w:r>
        <w:rPr>
          <w:rFonts w:hint="eastAsia" w:ascii="宋体" w:hAnsi="宋体" w:cs="宋体"/>
          <w:position w:val="-12"/>
          <w:szCs w:val="21"/>
        </w:rPr>
        <w:object>
          <v:shape id="_x0000_i1029" o:spt="75" type="#_x0000_t75" style="height:18pt;width: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为第i门课程实考成绩×该门课程学分</w:t>
      </w:r>
    </w:p>
    <w:p>
      <w:pPr>
        <w:shd w:val="solid" w:color="FFFFFF" w:fill="auto"/>
        <w:autoSpaceDN w:val="0"/>
        <w:spacing w:line="500" w:lineRule="exact"/>
        <w:ind w:firstLine="422" w:firstLineChars="200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三、实践创新计分办法</w:t>
      </w:r>
    </w:p>
    <w:p>
      <w:pPr>
        <w:shd w:val="solid" w:color="FFFFFF" w:fill="auto"/>
        <w:autoSpaceDN w:val="0"/>
        <w:spacing w:line="500" w:lineRule="exact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 xml:space="preserve">   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1.学术型竞赛、学术型活动获奖加分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894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获奖级别</w:t>
            </w:r>
          </w:p>
        </w:tc>
        <w:tc>
          <w:tcPr>
            <w:tcW w:w="3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  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国家级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仿宋_GB2312"/>
                <w:szCs w:val="21"/>
              </w:rPr>
              <w:t>国家教育主管部门主办的竞赛或成果、国家一级学会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（省级一级学会主办的竞赛或成果</w:t>
            </w:r>
            <w:r>
              <w:rPr>
                <w:rFonts w:hint="eastAsia" w:ascii="宋体" w:hAnsi="宋体" w:cs="仿宋_GB2312"/>
                <w:szCs w:val="21"/>
              </w:rPr>
              <w:t>、省厅级单位主管部门主办的竞赛或成果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校级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（仅限我校主办的竞赛或成果）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（仅限我院主办的竞赛或成果）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</w:tr>
    </w:tbl>
    <w:p>
      <w:pPr>
        <w:widowControl w:val="0"/>
        <w:numPr>
          <w:ilvl w:val="0"/>
          <w:numId w:val="3"/>
        </w:numPr>
        <w:shd w:val="solid" w:color="FFFFFF" w:fill="auto"/>
        <w:autoSpaceDN w:val="0"/>
        <w:adjustRightInd w:val="0"/>
        <w:snapToGrid w:val="0"/>
        <w:spacing w:line="500" w:lineRule="exact"/>
        <w:ind w:left="420" w:leftChars="200"/>
        <w:textAlignment w:val="auto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参加各级学术会议并作会议报告加分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2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2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Cs w:val="21"/>
                <w:shd w:val="clear" w:color="auto" w:fill="FFFFFF"/>
              </w:rPr>
              <w:t>会议级别</w:t>
            </w:r>
          </w:p>
        </w:tc>
        <w:tc>
          <w:tcPr>
            <w:tcW w:w="3753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Cs w:val="21"/>
                <w:shd w:val="clear" w:color="auto" w:fill="FFFFFF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2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国际级（至少3个国家以上）</w:t>
            </w:r>
          </w:p>
        </w:tc>
        <w:tc>
          <w:tcPr>
            <w:tcW w:w="3753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2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国家级</w:t>
            </w:r>
          </w:p>
        </w:tc>
        <w:tc>
          <w:tcPr>
            <w:tcW w:w="3753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2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省级</w:t>
            </w:r>
          </w:p>
        </w:tc>
        <w:tc>
          <w:tcPr>
            <w:tcW w:w="3753" w:type="dxa"/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2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bCs/>
          <w:szCs w:val="21"/>
          <w:shd w:val="clear" w:color="auto" w:fill="FFFFFF"/>
        </w:rPr>
      </w:pPr>
    </w:p>
    <w:p>
      <w:pPr>
        <w:spacing w:line="440" w:lineRule="exact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备注：</w:t>
      </w:r>
      <w:r>
        <w:rPr>
          <w:rFonts w:ascii="宋体" w:hAnsi="宋体" w:cs="宋体"/>
          <w:szCs w:val="21"/>
        </w:rPr>
        <w:t>同类中内容相同或相近的成果不重复计分，各类获奖荣誉等取最高项计分，不累加</w:t>
      </w:r>
      <w:r>
        <w:rPr>
          <w:rFonts w:hint="eastAsia" w:ascii="宋体" w:hAnsi="宋体" w:cs="宋体"/>
          <w:szCs w:val="21"/>
        </w:rPr>
        <w:t>。针对专业型硕士研究生，若有获得与所学专业相关的职业资格认证证书亦可申报，由评审委员会进行认定和解释。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该项分值加满为止，</w:t>
      </w:r>
      <w:r>
        <w:rPr>
          <w:rFonts w:hint="eastAsia" w:ascii="宋体" w:hAnsi="宋体" w:cs="宋体"/>
          <w:szCs w:val="21"/>
          <w:shd w:val="solid" w:color="FFFFFF" w:fill="auto"/>
        </w:rPr>
        <w:t>若申请者该项得分存在超出总分情况，则依据最高得分者分数为满分相应比例进行折算与换算。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 </w:t>
      </w:r>
    </w:p>
    <w:p>
      <w:pPr>
        <w:numPr>
          <w:ilvl w:val="0"/>
          <w:numId w:val="4"/>
        </w:numPr>
        <w:shd w:val="solid" w:color="FFFFFF" w:fill="auto"/>
        <w:adjustRightInd w:val="0"/>
        <w:snapToGrid w:val="0"/>
        <w:spacing w:line="500" w:lineRule="exact"/>
        <w:ind w:firstLine="422" w:firstLineChars="200"/>
        <w:jc w:val="left"/>
        <w:rPr>
          <w:rStyle w:val="6"/>
          <w:rFonts w:ascii="宋体" w:hAnsi="宋体" w:cs="宋体"/>
          <w:szCs w:val="21"/>
          <w:shd w:val="clear" w:color="auto" w:fill="FFFFFF"/>
        </w:rPr>
      </w:pPr>
      <w:r>
        <w:rPr>
          <w:rStyle w:val="6"/>
          <w:rFonts w:hint="eastAsia" w:ascii="宋体" w:hAnsi="宋体" w:cs="宋体"/>
          <w:szCs w:val="21"/>
          <w:shd w:val="clear" w:color="auto" w:fill="FFFFFF"/>
        </w:rPr>
        <w:t>综合素质计分办法</w:t>
      </w:r>
    </w:p>
    <w:p>
      <w:pPr>
        <w:shd w:val="solid" w:color="FFFFFF" w:fill="auto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1.社会工作加分</w:t>
      </w:r>
    </w:p>
    <w:p>
      <w:pPr>
        <w:shd w:val="solid" w:color="FFFFFF" w:fill="FFFF00"/>
        <w:spacing w:line="500" w:lineRule="exact"/>
        <w:ind w:firstLine="420" w:firstLineChars="200"/>
        <w:rPr>
          <w:rFonts w:ascii="宋体" w:hAnsi="宋体"/>
          <w:szCs w:val="21"/>
          <w:shd w:val="clear" w:color="auto" w:fill="FFFF00"/>
        </w:rPr>
      </w:pPr>
      <w:r>
        <w:rPr>
          <w:rFonts w:hint="eastAsia" w:ascii="宋体" w:hAnsi="宋体" w:cs="宋体"/>
          <w:szCs w:val="21"/>
          <w:shd w:val="solid" w:color="FFFFFF" w:fill="auto"/>
        </w:rPr>
        <w:t>经学院认定的学生干部：校、院研究生会主席、团总支书记加8分；校、院团学组织副职干部、班长、团支部书记、党支部书记加6分；除以上提到的其他班委2分；参评学年担任助管、助教的工作加3分（担任1学期者减半）。</w:t>
      </w:r>
    </w:p>
    <w:p>
      <w:pPr>
        <w:shd w:val="solid" w:color="FFFFFF" w:fill="auto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  <w:shd w:val="solid" w:color="FFFFFF" w:fill="auto"/>
        </w:rPr>
        <w:t>2.文化素质类竞赛加分（体育竞赛加分仅限于我校、我院举办的校运会和院运会）</w:t>
      </w:r>
    </w:p>
    <w:p>
      <w:pPr>
        <w:spacing w:line="60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本学年参加全国、省级、校、学院文化素质类竞赛，具体获奖加分以评审委员会认定为准，要求如下：</w:t>
      </w:r>
    </w:p>
    <w:p>
      <w:pPr>
        <w:spacing w:line="600" w:lineRule="exact"/>
        <w:ind w:firstLine="420" w:firstLineChars="200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（1）以获奖证书为准。</w:t>
      </w:r>
    </w:p>
    <w:p>
      <w:pPr>
        <w:spacing w:line="600" w:lineRule="exact"/>
        <w:ind w:firstLine="420" w:firstLineChars="200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（2）同一年同一项目按最高标准享受，不同项目可以累加计算，多项参与奖累计积分不能超过该级别的二等奖加分。（例如：四项校级参与奖加分为3分）。</w:t>
      </w:r>
    </w:p>
    <w:p>
      <w:pPr>
        <w:spacing w:line="600" w:lineRule="exact"/>
        <w:ind w:firstLine="420" w:firstLineChars="200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（3）若有四、五、六、七、八等奖，均视为参与奖。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9"/>
        <w:gridCol w:w="1894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获奖级别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  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国家级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仿宋_GB2312"/>
                <w:szCs w:val="21"/>
              </w:rPr>
              <w:t>国家教育主管部门主办的竞赛或成果、国家一级学会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参与奖（含学术型）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（省级一级学会主办的竞赛或成果</w:t>
            </w:r>
            <w:r>
              <w:rPr>
                <w:rFonts w:hint="eastAsia" w:ascii="宋体" w:hAnsi="宋体" w:cs="仿宋_GB2312"/>
                <w:szCs w:val="21"/>
              </w:rPr>
              <w:t>、省厅级单位主管部门主办的竞赛或成果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参与奖（含学术型）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校级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（仅限我校主办的竞赛或成果）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院级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（仅限我院主办的竞赛或成果）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参与奖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0.5分</w:t>
            </w:r>
          </w:p>
        </w:tc>
      </w:tr>
    </w:tbl>
    <w:p>
      <w:pPr>
        <w:numPr>
          <w:ilvl w:val="0"/>
          <w:numId w:val="0"/>
        </w:numPr>
        <w:shd w:val="solid" w:color="FFFFFF" w:fill="auto"/>
        <w:spacing w:line="500" w:lineRule="exact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3.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课题立项加分</w:t>
      </w:r>
    </w:p>
    <w:p>
      <w:pPr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ascii="宋体" w:hAnsi="宋体" w:cs="宋体"/>
          <w:bCs/>
          <w:szCs w:val="21"/>
          <w:shd w:val="clear" w:color="auto" w:fill="FFFFFF"/>
        </w:rPr>
        <w:t>参评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课题立项的</w:t>
      </w:r>
      <w:r>
        <w:rPr>
          <w:rFonts w:ascii="宋体" w:hAnsi="宋体" w:cs="宋体"/>
          <w:bCs/>
          <w:szCs w:val="21"/>
          <w:shd w:val="clear" w:color="auto" w:fill="FFFFFF"/>
        </w:rPr>
        <w:t>研成果要求研究生为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项目主持人，课题组成员为我校师生，具体项目加分由项目主持人分配。</w:t>
      </w:r>
    </w:p>
    <w:p>
      <w:pPr>
        <w:shd w:val="solid" w:color="FFFFFF" w:fill="auto"/>
        <w:spacing w:line="500" w:lineRule="exact"/>
        <w:ind w:firstLine="420" w:firstLineChars="200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4.荣誉称号加分</w:t>
      </w:r>
    </w:p>
    <w:tbl>
      <w:tblPr>
        <w:tblStyle w:val="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32"/>
        <w:gridCol w:w="1134"/>
        <w:gridCol w:w="1417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级别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三好生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优秀团学干部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优秀团员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三好生标兵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优秀团员标兵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国家级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省级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校级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院级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</w:tr>
    </w:tbl>
    <w:p>
      <w:pPr>
        <w:shd w:val="solid" w:color="FFFFFF" w:fill="auto"/>
        <w:spacing w:line="500" w:lineRule="exact"/>
        <w:rPr>
          <w:rFonts w:hint="eastAsia" w:ascii="宋体" w:hAnsi="宋体" w:cs="宋体"/>
          <w:szCs w:val="21"/>
          <w:shd w:val="solid" w:color="FFFFFF" w:fill="auto"/>
        </w:rPr>
      </w:pPr>
      <w:r>
        <w:rPr>
          <w:rFonts w:hint="eastAsia" w:ascii="宋体" w:hAnsi="宋体" w:cs="宋体"/>
          <w:szCs w:val="21"/>
          <w:shd w:val="clear" w:color="auto" w:fill="FFFFFF"/>
        </w:rPr>
        <w:t>备注：以上同一项目同一次获多个奖项以最高分计，不重复加分；因违纪、工作不力等原因被撤职的则不计分；最高分超过10分时，</w:t>
      </w:r>
      <w:r>
        <w:rPr>
          <w:rFonts w:hint="eastAsia" w:ascii="宋体" w:hAnsi="宋体" w:cs="宋体"/>
          <w:szCs w:val="21"/>
          <w:shd w:val="solid" w:color="FFFFFF" w:fill="auto"/>
        </w:rPr>
        <w:t>依据最高得分者分数为满分相应比例进行折算与换算。</w:t>
      </w:r>
    </w:p>
    <w:p>
      <w:pPr>
        <w:shd w:val="solid" w:color="FFFFFF" w:fill="auto"/>
        <w:spacing w:line="500" w:lineRule="exact"/>
        <w:ind w:firstLine="420" w:firstLineChars="200"/>
        <w:rPr>
          <w:rFonts w:hint="eastAsia" w:ascii="宋体" w:hAnsi="宋体" w:cs="宋体"/>
          <w:szCs w:val="21"/>
          <w:shd w:val="solid" w:color="FFFFFF" w:fill="auto"/>
        </w:rPr>
      </w:pPr>
      <w:r>
        <w:rPr>
          <w:rFonts w:hint="eastAsia" w:ascii="宋体" w:hAnsi="宋体" w:cs="宋体"/>
          <w:szCs w:val="21"/>
          <w:shd w:val="solid" w:color="FFFFFF" w:fill="auto"/>
        </w:rPr>
        <w:t>5.考勤管理计分</w:t>
      </w:r>
    </w:p>
    <w:p>
      <w:pPr>
        <w:shd w:val="solid" w:color="FFFFFF" w:fill="auto"/>
        <w:spacing w:line="500" w:lineRule="exact"/>
        <w:ind w:firstLine="420" w:firstLineChars="200"/>
        <w:rPr>
          <w:rFonts w:hint="eastAsia" w:ascii="宋体" w:hAnsi="宋体" w:cs="宋体"/>
          <w:szCs w:val="21"/>
          <w:shd w:val="solid" w:color="FFFFFF" w:fill="auto"/>
        </w:rPr>
      </w:pPr>
      <w:r>
        <w:rPr>
          <w:rFonts w:hint="eastAsia" w:ascii="宋体" w:hAnsi="宋体" w:cs="宋体"/>
          <w:szCs w:val="21"/>
          <w:shd w:val="solid" w:color="FFFFFF" w:fill="auto"/>
        </w:rPr>
        <w:t>课堂考勤、会议考勤、晚点考勤、钉钉打卡考勤列入减分项，学院定期进行考勤通报，凡学院通报批评一次扣0.5分，以上内容以公示文件为准。有一项校级、院级处分，则取消所有评先评优评奖资格。</w:t>
      </w:r>
    </w:p>
    <w:p>
      <w:pPr>
        <w:shd w:val="solid" w:color="FFFFFF" w:fill="auto"/>
        <w:adjustRightInd w:val="0"/>
        <w:snapToGrid w:val="0"/>
        <w:spacing w:line="500" w:lineRule="exact"/>
        <w:jc w:val="left"/>
        <w:rPr>
          <w:rFonts w:hint="eastAsia" w:ascii="宋体" w:hAnsi="宋体" w:cs="宋体"/>
          <w:szCs w:val="21"/>
          <w:shd w:val="solid" w:color="FFFFFF" w:fill="auto"/>
        </w:rPr>
      </w:pPr>
      <w:r>
        <w:rPr>
          <w:rFonts w:hint="eastAsia" w:ascii="宋体" w:hAnsi="宋体" w:cs="宋体"/>
          <w:b/>
          <w:szCs w:val="21"/>
          <w:shd w:val="solid" w:color="FFFFFF" w:fill="auto"/>
        </w:rPr>
        <w:t>备注：若</w:t>
      </w:r>
      <w:r>
        <w:rPr>
          <w:rStyle w:val="6"/>
          <w:rFonts w:hint="eastAsia" w:ascii="宋体" w:hAnsi="宋体" w:cs="宋体"/>
          <w:szCs w:val="21"/>
          <w:shd w:val="clear" w:color="auto" w:fill="FFFFFF"/>
        </w:rPr>
        <w:t>综合素质计分得分为负分，将按照换算分从总分中扣除。</w:t>
      </w:r>
    </w:p>
    <w:p>
      <w:pPr>
        <w:shd w:val="clear" w:color="auto" w:fill="FFFFFF"/>
        <w:spacing w:before="156" w:beforeLines="50" w:after="156" w:afterLines="50" w:line="360" w:lineRule="atLeast"/>
        <w:ind w:firstLine="422" w:firstLineChars="200"/>
        <w:jc w:val="left"/>
        <w:textAlignment w:val="auto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kern w:val="0"/>
          <w:szCs w:val="21"/>
        </w:rPr>
        <w:t>五、</w:t>
      </w:r>
      <w:r>
        <w:rPr>
          <w:rFonts w:hint="eastAsia" w:ascii="宋体" w:hAnsi="宋体" w:cs="宋体"/>
          <w:b/>
          <w:szCs w:val="21"/>
          <w:shd w:val="clear" w:color="auto" w:fill="FFFFFF"/>
        </w:rPr>
        <w:t>民主测评计分办法</w:t>
      </w:r>
    </w:p>
    <w:p>
      <w:pPr>
        <w:shd w:val="clear" w:color="auto" w:fill="FFFFFF"/>
        <w:spacing w:before="156" w:beforeLines="50" w:after="156" w:afterLines="50" w:line="360" w:lineRule="atLeast"/>
        <w:ind w:firstLine="420" w:firstLineChars="200"/>
        <w:jc w:val="lef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</w:rPr>
        <w:t>在学年鉴定的基础之上，由学院组织全体研究生以优秀的40%(90分以上)，良好的60%(80-90)、进行百分制民主测评，测评结果按照所占比例折算计分。</w:t>
      </w:r>
    </w:p>
    <w:p>
      <w:pPr>
        <w:shd w:val="clear" w:color="auto" w:fill="FFFFFF"/>
        <w:spacing w:before="156" w:beforeLines="50" w:after="156" w:afterLines="50" w:line="36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六、社会服务活动积分计分办法（作为参评资格积分，不计入总分）</w:t>
      </w:r>
    </w:p>
    <w:p>
      <w:pPr>
        <w:shd w:val="clear" w:color="auto" w:fill="FFFFFF"/>
        <w:spacing w:before="156" w:beforeLines="50" w:after="156" w:afterLines="50" w:line="36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1.参与分：国家级、省级各类竞赛活动参与一次积分为1分；校级、院级举办的各项比赛及活动，班级立项活动、团支部立项活动，参与一次积分为0.5分。</w:t>
      </w:r>
    </w:p>
    <w:p>
      <w:pPr>
        <w:shd w:val="clear" w:color="auto" w:fill="FFFFFF"/>
        <w:spacing w:before="156" w:beforeLines="50" w:after="156" w:afterLines="50" w:line="36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2.荣誉分：国家级、省级、校级、院级各类活动竞赛中获奖的同学积分为：一等奖（第1名）2分、二等奖（第2、3名）1分、三等奖（第4、5、6、7、8名）0.5分。</w:t>
      </w:r>
    </w:p>
    <w:p>
      <w:pPr>
        <w:shd w:val="clear" w:color="auto" w:fill="FFFFFF"/>
        <w:spacing w:before="156" w:beforeLines="50" w:after="156" w:afterLines="50" w:line="36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备注：所有各类活动需提供参赛凭证或获奖证书；积分有效时间为前一年9月1日至评选当年9月30日。</w:t>
      </w:r>
    </w:p>
    <w:p/>
    <w:sectPr>
      <w:headerReference r:id="rId3" w:type="default"/>
      <w:footerReference r:id="rId4" w:type="default"/>
      <w:pgSz w:w="11906" w:h="16838"/>
      <w:pgMar w:top="1985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lang w:val="zh-CN"/>
      </w:rPr>
      <w:t>4</w:t>
    </w:r>
    <w:r>
      <w:fldChar w:fldCharType="end"/>
    </w:r>
  </w:p>
  <w:p>
    <w:pPr>
      <w:pStyle w:val="2"/>
      <w:rPr>
        <w:rStyle w:val="7"/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E6421"/>
    <w:multiLevelType w:val="singleLevel"/>
    <w:tmpl w:val="865E64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148270"/>
    <w:multiLevelType w:val="singleLevel"/>
    <w:tmpl w:val="B514827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37D1EE"/>
    <w:multiLevelType w:val="singleLevel"/>
    <w:tmpl w:val="5437D1EE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80D97E1"/>
    <w:multiLevelType w:val="singleLevel"/>
    <w:tmpl w:val="580D97E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429D4"/>
    <w:rsid w:val="295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0"/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2019-10-18T11:57:00Z</dcterms:created>
  <dc:creator>1</dc:creator>
  <cp:lastModifiedBy>1</cp:lastModifiedBy>
  <dcterms:modified xsi:type="dcterms:W3CDTF">2019-10-18T11:57:41Z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